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Pair 1: Comparing through classroom activities</w:t>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Prior to study</w:t>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Fonts w:ascii="Calibri" w:cs="Calibri" w:eastAsia="Calibri" w:hAnsi="Calibri"/>
          <w:rtl w:val="0"/>
        </w:rPr>
        <w:t xml:space="preserve">Either working individually or in small groups, have students research a relevant contextual factor for each text. Ask them to formulate a simple explanation of this event or issue, and to predict the role that it might play in the relevant text.</w:t>
      </w:r>
    </w:p>
    <w:p w:rsidR="00000000" w:rsidDel="00000000" w:rsidP="00000000" w:rsidRDefault="00000000" w:rsidRPr="00000000" w14:paraId="00000005">
      <w:pPr>
        <w:spacing w:line="240" w:lineRule="auto"/>
        <w:rPr>
          <w:rFonts w:ascii="Calibri" w:cs="Calibri" w:eastAsia="Calibri" w:hAnsi="Calibri"/>
        </w:rPr>
      </w:pPr>
      <w:r w:rsidDel="00000000" w:rsidR="00000000" w:rsidRPr="00000000">
        <w:rPr>
          <w:rtl w:val="0"/>
        </w:rPr>
      </w:r>
    </w:p>
    <w:tbl>
      <w:tblPr>
        <w:tblStyle w:val="Table1"/>
        <w:tblW w:w="85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3333333333335"/>
        <w:gridCol w:w="2835.3333333333335"/>
        <w:gridCol w:w="2835.3333333333335"/>
        <w:tblGridChange w:id="0">
          <w:tblGrid>
            <w:gridCol w:w="2835.3333333333335"/>
            <w:gridCol w:w="2835.3333333333335"/>
            <w:gridCol w:w="2835.333333333333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The Hate Race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Contextual factor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Predicted role in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Atlantic Slave Trade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Post-war migration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Multiculturalism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Racial Discrimination 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1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rPr>
      </w:pPr>
      <w:r w:rsidDel="00000000" w:rsidR="00000000" w:rsidRPr="00000000">
        <w:rPr>
          <w:rtl w:val="0"/>
        </w:rPr>
      </w:r>
    </w:p>
    <w:tbl>
      <w:tblPr>
        <w:tblStyle w:val="Table2"/>
        <w:tblW w:w="85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3333333333335"/>
        <w:gridCol w:w="2835.3333333333335"/>
        <w:gridCol w:w="2835.3333333333335"/>
        <w:tblGridChange w:id="0">
          <w:tblGrid>
            <w:gridCol w:w="2835.3333333333335"/>
            <w:gridCol w:w="2835.3333333333335"/>
            <w:gridCol w:w="2835.333333333333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Charlie’s Country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Contextual factor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Predicted role in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Colonisation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White Australia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Stolen Generations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The Northern Territory Intervention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During study</w:t>
      </w:r>
    </w:p>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Fonts w:ascii="Calibri" w:cs="Calibri" w:eastAsia="Calibri" w:hAnsi="Calibri"/>
          <w:rtl w:val="0"/>
        </w:rPr>
        <w:t xml:space="preserve">Have students map their emotional and intellectual response tos the texts as they read and view them for the first time. Scaffold their vocabulary for the task, providing them with some possible responses. For example, does a particular event or construction lead them to ask questions about the text? Do they feel empathetic at a particular point? Do they find themselves disengaging at any point? Ask them to identify a possible reason for this response.</w:t>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Fonts w:ascii="Calibri" w:cs="Calibri" w:eastAsia="Calibri" w:hAnsi="Calibri"/>
          <w:rtl w:val="0"/>
        </w:rPr>
        <w:t xml:space="preserve">Allow these notes to provide the basis for a discussion of the way that the creators of the texts construct meaning. Ask them to compare their relative responses. Are there any significant similarities or differences? Why do they think this might be?</w:t>
      </w:r>
    </w:p>
    <w:p w:rsidR="00000000" w:rsidDel="00000000" w:rsidP="00000000" w:rsidRDefault="00000000" w:rsidRPr="00000000" w14:paraId="00000033">
      <w:pPr>
        <w:spacing w:line="240" w:lineRule="auto"/>
        <w:rPr>
          <w:rFonts w:ascii="Calibri" w:cs="Calibri" w:eastAsia="Calibri" w:hAnsi="Calibri"/>
          <w:i w:val="1"/>
        </w:rPr>
      </w:pPr>
      <w:r w:rsidDel="00000000" w:rsidR="00000000" w:rsidRPr="00000000">
        <w:rPr>
          <w:rtl w:val="0"/>
        </w:rPr>
      </w:r>
    </w:p>
    <w:tbl>
      <w:tblPr>
        <w:tblStyle w:val="Table3"/>
        <w:tblW w:w="85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3333333333335"/>
        <w:gridCol w:w="2835.3333333333335"/>
        <w:gridCol w:w="2835.3333333333335"/>
        <w:tblGridChange w:id="0">
          <w:tblGrid>
            <w:gridCol w:w="2835.3333333333335"/>
            <w:gridCol w:w="2835.3333333333335"/>
            <w:gridCol w:w="2835.333333333333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1"/>
              </w:rPr>
            </w:pPr>
            <w:r w:rsidDel="00000000" w:rsidR="00000000" w:rsidRPr="00000000">
              <w:rPr>
                <w:rFonts w:ascii="Calibri" w:cs="Calibri" w:eastAsia="Calibri" w:hAnsi="Calibri"/>
                <w:i w:val="1"/>
                <w:rtl w:val="0"/>
              </w:rPr>
              <w:t xml:space="preserve">The Hate Race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Point in 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Possible reason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3D">
      <w:pPr>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i w:val="1"/>
        </w:rPr>
      </w:pPr>
      <w:r w:rsidDel="00000000" w:rsidR="00000000" w:rsidRPr="00000000">
        <w:rPr>
          <w:rtl w:val="0"/>
        </w:rPr>
      </w:r>
    </w:p>
    <w:tbl>
      <w:tblPr>
        <w:tblStyle w:val="Table4"/>
        <w:tblW w:w="85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3333333333335"/>
        <w:gridCol w:w="2835.3333333333335"/>
        <w:gridCol w:w="2835.3333333333335"/>
        <w:tblGridChange w:id="0">
          <w:tblGrid>
            <w:gridCol w:w="2835.3333333333335"/>
            <w:gridCol w:w="2835.3333333333335"/>
            <w:gridCol w:w="2835.333333333333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Charlie’s Country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Point in 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Possible reason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49">
      <w:pPr>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After study</w:t>
      </w:r>
    </w:p>
    <w:p w:rsidR="00000000" w:rsidDel="00000000" w:rsidP="00000000" w:rsidRDefault="00000000" w:rsidRPr="00000000" w14:paraId="0000004E">
      <w:pPr>
        <w:spacing w:line="240" w:lineRule="auto"/>
        <w:rPr>
          <w:rFonts w:ascii="Calibri" w:cs="Calibri" w:eastAsia="Calibri" w:hAnsi="Calibri"/>
        </w:rPr>
      </w:pPr>
      <w:r w:rsidDel="00000000" w:rsidR="00000000" w:rsidRPr="00000000">
        <w:rPr>
          <w:rFonts w:ascii="Calibri" w:cs="Calibri" w:eastAsia="Calibri" w:hAnsi="Calibri"/>
          <w:rtl w:val="0"/>
        </w:rPr>
        <w:t xml:space="preserve">Have students work at the sentence level to compare the similarities and differences in the two texts. Ask them to construct sentences to compare the text’s approach to some of the central themes, issues and ideas. Scaffold their understanding of coordinating and subordinating conjunctions to provide them with the confidence and capacity to manipulate their writing.</w:t>
      </w: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tl w:val="0"/>
        </w:rPr>
      </w:r>
    </w:p>
    <w:tbl>
      <w:tblPr>
        <w:tblStyle w:val="Table5"/>
        <w:tblW w:w="85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3333333333335"/>
        <w:gridCol w:w="2835.3333333333335"/>
        <w:gridCol w:w="2835.3333333333335"/>
        <w:tblGridChange w:id="0">
          <w:tblGrid>
            <w:gridCol w:w="2835.3333333333335"/>
            <w:gridCol w:w="2835.3333333333335"/>
            <w:gridCol w:w="2835.333333333333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Theme, issue or idea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Sentence using a coordinating conjunction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Sentence using a subordinating conjunction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Racism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gaps between generations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power of language and culture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struggle of being an outsider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 formation of national identity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63">
      <w:pPr>
        <w:rPr>
          <w:rFonts w:ascii="Calibri" w:cs="Calibri" w:eastAsia="Calibri" w:hAnsi="Calibri"/>
        </w:rPr>
      </w:pPr>
      <w:r w:rsidDel="00000000" w:rsidR="00000000" w:rsidRPr="00000000">
        <w:rPr>
          <w:rtl w:val="0"/>
        </w:rPr>
      </w:r>
    </w:p>
    <w:sectPr>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